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F0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C31F01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</w:tcPr>
          <w:p w:rsidR="00000000" w:rsidRDefault="00C31F01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000000" w:rsidRDefault="00C31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000000" w:rsidRDefault="00C31F01">
      <w:pPr>
        <w:pStyle w:val="ConsPlusNormal"/>
        <w:jc w:val="center"/>
        <w:rPr>
          <w:b/>
          <w:bCs/>
        </w:rPr>
      </w:pP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000000" w:rsidRDefault="00C31F01">
      <w:pPr>
        <w:pStyle w:val="ConsPlusNormal"/>
        <w:jc w:val="center"/>
        <w:rPr>
          <w:b/>
          <w:bCs/>
        </w:rPr>
      </w:pP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ОТДЕЛЬНЫХ ВОПРОСАХ ПРОВЕДЕНИЯ ОЦЕНКИ РЕГУЛИРУЮЩЕГО</w:t>
      </w: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ВОЗДЕЙСТВИЯ ПРОЕКТОВ МУНИЦИПАЛЬНЫХ НОРМАТИВНЫХ ПРАВОВЫХ</w:t>
      </w: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АКТОВ И ЭКСПЕРТИЗЫ МУНИЦИПАЛЬНЫХ НОРМАТИВНЫХ ПРАВОВЫХ АКТОВ</w:t>
      </w: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В ЛЕНИНГРАДСКОЙ ОБЛАСТИ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00000" w:rsidRDefault="00C31F01">
      <w:pPr>
        <w:pStyle w:val="ConsPlusNormal"/>
        <w:jc w:val="center"/>
      </w:pPr>
      <w:proofErr w:type="gramStart"/>
      <w:r>
        <w:t>18 ма</w:t>
      </w:r>
      <w:r>
        <w:t>я 2016 года)</w:t>
      </w:r>
      <w:proofErr w:type="gramEnd"/>
    </w:p>
    <w:p w:rsidR="00000000" w:rsidRDefault="00C31F0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1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1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1F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1F0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5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C31F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02.12.2021 </w:t>
            </w:r>
            <w:hyperlink r:id="rId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1F0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Предмет регулирования настоящего областного закона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</w:t>
      </w:r>
      <w:r>
        <w:t>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000000" w:rsidRDefault="00C31F01">
      <w:pPr>
        <w:pStyle w:val="ConsPlusNormal"/>
        <w:jc w:val="both"/>
      </w:pPr>
      <w:r>
        <w:t xml:space="preserve">(в ред. </w:t>
      </w:r>
      <w:r>
        <w:t xml:space="preserve">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proofErr w:type="gramStart"/>
      <w:r>
        <w:t xml:space="preserve"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>
        <w:t>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  <w:proofErr w:type="gramEnd"/>
    </w:p>
    <w:p w:rsidR="00000000" w:rsidRDefault="00C31F01">
      <w:pPr>
        <w:pStyle w:val="ConsPlusNormal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</w:t>
      </w:r>
      <w:r>
        <w:t>ной деятельности (далее - экспертиза муниципальных актов).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Оценка регулирующего воздействия проектов муниципальных актов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000000" w:rsidRDefault="00C31F01">
      <w:pPr>
        <w:pStyle w:val="ConsPlusNormal"/>
        <w:jc w:val="both"/>
      </w:pPr>
      <w:r>
        <w:t>(</w:t>
      </w:r>
      <w:r>
        <w:t xml:space="preserve">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проектов муниципальных но</w:t>
      </w:r>
      <w:r>
        <w:t>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</w:t>
      </w:r>
      <w:r>
        <w:t>ваний, регулирующих бюджетные правоотношения;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00000" w:rsidRDefault="00C31F01">
      <w:pPr>
        <w:pStyle w:val="ConsPlusNormal"/>
        <w:jc w:val="both"/>
      </w:pPr>
      <w:r>
        <w:t>(абзац введен Обла</w:t>
      </w:r>
      <w:r>
        <w:t xml:space="preserve">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2. Оценка регулирующего воздействия пр</w:t>
      </w:r>
      <w:r>
        <w:t xml:space="preserve">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</w:t>
      </w:r>
      <w:r>
        <w:t>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000000" w:rsidRDefault="00C31F01">
      <w:pPr>
        <w:pStyle w:val="ConsPlusNormal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 xml:space="preserve">3. Оценка регулирующего воздействия проектов муниципальных актов проводится органами местного самоуправления в </w:t>
      </w:r>
      <w:r>
        <w:t>порядке, установленном муниципальными нормативными правовыми актами в соответствии с настоящим областным законом.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разме</w:t>
      </w:r>
      <w:r>
        <w:t xml:space="preserve">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</w:t>
      </w:r>
      <w:r>
        <w:t xml:space="preserve">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подготовку заключения об оценке регу</w:t>
      </w:r>
      <w:r>
        <w:t>лирующего воздействия проекта муниципального акта (далее - заключение об оценке) и размещение его на официальном сайте;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lastRenderedPageBreak/>
        <w:t>механизм учета выводов, содержащихся в заключении об оценке.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5. Перечень и формы документов для проведения оценки регулирующего воздейст</w:t>
      </w:r>
      <w:r>
        <w:t>вия проекта муниципального акта утверждаются органами местного самоуправления.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описание проблемы и цели предлагаемого правового регулирования;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сведения</w:t>
      </w:r>
      <w:r>
        <w:t xml:space="preserve">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 и связанных с ними дополнительных расходах;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сведения о субъе</w:t>
      </w:r>
      <w:r>
        <w:t>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</w:t>
      </w:r>
      <w:r>
        <w:t xml:space="preserve"> дополнительных расходах;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000000" w:rsidRDefault="00C31F01">
      <w:pPr>
        <w:pStyle w:val="ConsPlusNormal"/>
        <w:jc w:val="both"/>
      </w:pPr>
      <w:r>
        <w:t xml:space="preserve">(часть 5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6. Заключение об оценке, прилагаемое к проекту муницип</w:t>
      </w:r>
      <w:r>
        <w:t>ального нормативного правового акта, должно содержать выводы: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</w:t>
      </w:r>
      <w:r>
        <w:t>ановленного в соответствии с настоящей статьей;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</w:t>
      </w:r>
      <w:r>
        <w:t>й деятельности или способствуют их введению;</w:t>
      </w:r>
    </w:p>
    <w:p w:rsidR="00000000" w:rsidRDefault="00C31F01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</w:t>
      </w:r>
      <w:r>
        <w:t>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000000" w:rsidRDefault="00C31F01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Экспертиза муниципальных актов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r>
        <w:t xml:space="preserve">1. Экспертиза муниципальных актов </w:t>
      </w:r>
      <w:r>
        <w:t>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</w:t>
      </w:r>
      <w:r>
        <w:t>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размещение плана проведения экспер</w:t>
      </w:r>
      <w:r>
        <w:t>тизы муниципальных актов на официальном сайте;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</w:t>
      </w:r>
      <w:r>
        <w:t>цами;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механизм учета выводов, содержащихся в заключении об экспертизе.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4. В заключении об экспертизе должны содержаться выводы</w:t>
      </w:r>
      <w:r>
        <w:t xml:space="preserve">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</w:t>
      </w:r>
      <w:r>
        <w:t>ого нормативного правового акта или его отдельных положений.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</w:t>
      </w:r>
      <w:r>
        <w:rPr>
          <w:b/>
          <w:bCs/>
        </w:rPr>
        <w:t>ым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bookmarkStart w:id="1" w:name="Par77"/>
      <w:bookmarkEnd w:id="1"/>
      <w:r>
        <w:t xml:space="preserve">1. </w:t>
      </w:r>
      <w:hyperlink w:anchor="Par104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</w:t>
      </w:r>
      <w:r>
        <w:lastRenderedPageBreak/>
        <w:t>регулирующего воздействия проектов муниципальных актов и экспертизы муниципальных актов является обязательным, ус</w:t>
      </w:r>
      <w:r>
        <w:t>танавливается приложением к настоящему областному закону.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ar77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равный объем государственны</w:t>
      </w:r>
      <w:r>
        <w:t>х полномочий, переданных муниципальным районам и городскому округу в соответствии с действующим законодательством;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</w:t>
      </w:r>
      <w:r>
        <w:t>и на территории муниципального района (городского округа) Ленинградской области.</w:t>
      </w:r>
    </w:p>
    <w:p w:rsidR="00000000" w:rsidRDefault="00C31F01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ar77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</w:t>
      </w:r>
      <w:r>
        <w:t xml:space="preserve"> нормативными правовыми актами в соответствии с настоящим областным законом.</w:t>
      </w:r>
      <w:proofErr w:type="gramEnd"/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Вступление в силу настоящего областного закона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right"/>
      </w:pPr>
      <w:r>
        <w:t>Губернатор</w:t>
      </w:r>
    </w:p>
    <w:p w:rsidR="00000000" w:rsidRDefault="00C31F01">
      <w:pPr>
        <w:pStyle w:val="ConsPlusNormal"/>
        <w:jc w:val="right"/>
      </w:pPr>
      <w:r>
        <w:t>Ленинг</w:t>
      </w:r>
      <w:r>
        <w:t>радской области</w:t>
      </w:r>
    </w:p>
    <w:p w:rsidR="00000000" w:rsidRDefault="00C31F01">
      <w:pPr>
        <w:pStyle w:val="ConsPlusNormal"/>
        <w:jc w:val="right"/>
      </w:pPr>
      <w:r>
        <w:t>А.Дрозденко</w:t>
      </w:r>
    </w:p>
    <w:p w:rsidR="00000000" w:rsidRDefault="00C31F01">
      <w:pPr>
        <w:pStyle w:val="ConsPlusNormal"/>
      </w:pPr>
      <w:r>
        <w:t>Санкт-Петербург</w:t>
      </w:r>
    </w:p>
    <w:p w:rsidR="00000000" w:rsidRDefault="00C31F01">
      <w:pPr>
        <w:pStyle w:val="ConsPlusNormal"/>
        <w:spacing w:before="160"/>
      </w:pPr>
      <w:r>
        <w:t>6 июня 2016 года</w:t>
      </w:r>
    </w:p>
    <w:p w:rsidR="00000000" w:rsidRDefault="00C31F01">
      <w:pPr>
        <w:pStyle w:val="ConsPlusNormal"/>
        <w:spacing w:before="160"/>
      </w:pPr>
      <w:r>
        <w:t>N 44-оз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000000" w:rsidRDefault="00C31F01">
      <w:pPr>
        <w:pStyle w:val="ConsPlusNormal"/>
        <w:jc w:val="right"/>
      </w:pPr>
      <w:r>
        <w:t>областным законом</w:t>
      </w:r>
    </w:p>
    <w:p w:rsidR="00000000" w:rsidRDefault="00C31F01">
      <w:pPr>
        <w:pStyle w:val="ConsPlusNormal"/>
        <w:jc w:val="right"/>
      </w:pPr>
      <w:r>
        <w:t>от 06.06.2016 N 44-оз</w:t>
      </w:r>
    </w:p>
    <w:p w:rsidR="00000000" w:rsidRDefault="00C31F01">
      <w:pPr>
        <w:pStyle w:val="ConsPlusNormal"/>
        <w:jc w:val="right"/>
      </w:pPr>
      <w:r>
        <w:t>(приложение)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center"/>
        <w:rPr>
          <w:b/>
          <w:bCs/>
        </w:rPr>
      </w:pPr>
      <w:bookmarkStart w:id="2" w:name="Par104"/>
      <w:bookmarkEnd w:id="2"/>
      <w:r>
        <w:rPr>
          <w:b/>
          <w:bCs/>
        </w:rPr>
        <w:t>ПЕРЕЧЕНЬ</w:t>
      </w: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РАЙОНОВ И ГОРОДСКОГО ОКРУГА </w:t>
      </w:r>
      <w:proofErr w:type="gramStart"/>
      <w:r>
        <w:rPr>
          <w:b/>
          <w:bCs/>
        </w:rPr>
        <w:t>ЛЕНИНГРАДСКОЙ</w:t>
      </w:r>
      <w:proofErr w:type="gramEnd"/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ОБЛАСТИ, В КОТОРЫХ ПРОВЕДЕНИЕ ОЦЕНКИ </w:t>
      </w:r>
      <w:proofErr w:type="gramStart"/>
      <w:r>
        <w:rPr>
          <w:b/>
          <w:bCs/>
        </w:rPr>
        <w:t>РЕГУЛИРУЮЩЕГО</w:t>
      </w:r>
      <w:proofErr w:type="gramEnd"/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ВОЗДЕЙСТВИЯ ПРОЕКТОВ МУНИЦИПАЛЬНЫХ АКТОВ И ЭКСПЕРТИЗЫ</w:t>
      </w:r>
    </w:p>
    <w:p w:rsidR="00000000" w:rsidRDefault="00C31F0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АКТОВ ЯВЛЯЕТСЯ ОБЯЗАТЕЛЬНЫМ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Волосовский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Волховский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Всеволожск</w:t>
      </w:r>
      <w:r>
        <w:t>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Выборгский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Гатчинский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Кингисеппский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Киришский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Кировский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Лодейнопольский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Ломоносовский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Лужский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Подпорожский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Приозерский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Сланцевский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Сосновоборский городской округ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t>Тихвинский муниципальный район</w:t>
      </w:r>
    </w:p>
    <w:p w:rsidR="00000000" w:rsidRDefault="00C31F01">
      <w:pPr>
        <w:pStyle w:val="ConsPlusNormal"/>
        <w:spacing w:before="160"/>
        <w:ind w:firstLine="540"/>
        <w:jc w:val="both"/>
      </w:pPr>
      <w:r>
        <w:lastRenderedPageBreak/>
        <w:t>Тосненский район</w:t>
      </w:r>
    </w:p>
    <w:p w:rsidR="00000000" w:rsidRDefault="00C31F01">
      <w:pPr>
        <w:pStyle w:val="ConsPlusNormal"/>
        <w:jc w:val="both"/>
      </w:pPr>
    </w:p>
    <w:p w:rsidR="00000000" w:rsidRDefault="00C31F01">
      <w:pPr>
        <w:pStyle w:val="ConsPlusNormal"/>
        <w:jc w:val="both"/>
      </w:pPr>
    </w:p>
    <w:p w:rsidR="00C31F01" w:rsidRDefault="00C31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1F0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94"/>
    <w:rsid w:val="00C31F01"/>
    <w:rsid w:val="00D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54AFA418E75CDB03ACBBC257317765AC79C93C8371ABCF23CB85080FC98DD6024D125B31872B5043436615953D66C5CCA2A5CCF6A1DCpDh6O" TargetMode="External"/><Relationship Id="rId13" Type="http://schemas.openxmlformats.org/officeDocument/2006/relationships/hyperlink" Target="consultantplus://offline/ref=DA9D54AFA418E75CDB03B3AAD757317763A875C4388871ABCF23CB85080FC98DD6024D125B30842A5443436615953D66C5CCA2A5CCF6A1DCpDh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D54AFA418E75CDB03ACBBC257317765AC79C93C8371ABCF23CB85080FC98DD6024D125B3186225943436615953D66C5CCA2A5CCF6A1DCpDh6O" TargetMode="External"/><Relationship Id="rId12" Type="http://schemas.openxmlformats.org/officeDocument/2006/relationships/hyperlink" Target="consultantplus://offline/ref=DA9D54AFA418E75CDB03B3AAD757317763AF7BC8398771ABCF23CB85080FC98DD6024D125B30842B5943436615953D66C5CCA2A5CCF6A1DCpDh6O" TargetMode="External"/><Relationship Id="rId17" Type="http://schemas.openxmlformats.org/officeDocument/2006/relationships/hyperlink" Target="consultantplus://offline/ref=DA9D54AFA418E75CDB03B3AAD757317763A875C4388871ABCF23CB85080FC98DD6024D125B3084295943436615953D66C5CCA2A5CCF6A1DCpD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9D54AFA418E75CDB03B3AAD757317763A875C4388871ABCF23CB85080FC98DD6024D125B3084295643436615953D66C5CCA2A5CCF6A1DCpDh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D54AFA418E75CDB03B3AAD757317763A875C4388871ABCF23CB85080FC98DD6024D125B30842B5943436615953D66C5CCA2A5CCF6A1DCpDh6O" TargetMode="External"/><Relationship Id="rId11" Type="http://schemas.openxmlformats.org/officeDocument/2006/relationships/hyperlink" Target="consultantplus://offline/ref=DA9D54AFA418E75CDB03B3AAD757317763A875C4388871ABCF23CB85080FC98DD6024D125B30842A5243436615953D66C5CCA2A5CCF6A1DCpDh6O" TargetMode="External"/><Relationship Id="rId5" Type="http://schemas.openxmlformats.org/officeDocument/2006/relationships/hyperlink" Target="consultantplus://offline/ref=DA9D54AFA418E75CDB03B3AAD757317763AF7BC8398771ABCF23CB85080FC98DD6024D125B30842B5943436615953D66C5CCA2A5CCF6A1DCpDh6O" TargetMode="External"/><Relationship Id="rId15" Type="http://schemas.openxmlformats.org/officeDocument/2006/relationships/hyperlink" Target="consultantplus://offline/ref=DA9D54AFA418E75CDB03B3AAD757317763A875C4388871ABCF23CB85080FC98DD6024D125B3084295643436615953D66C5CCA2A5CCF6A1DCpDh6O" TargetMode="External"/><Relationship Id="rId10" Type="http://schemas.openxmlformats.org/officeDocument/2006/relationships/hyperlink" Target="consultantplus://offline/ref=DA9D54AFA418E75CDB03B3AAD757317763A875C4388871ABCF23CB85080FC98DD6024D125B30842A5043436615953D66C5CCA2A5CCF6A1DCpDh6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D54AFA418E75CDB03B3AAD757317763A875C4388871ABCF23CB85080FC98DD6024D125B30842A5143436615953D66C5CCA2A5CCF6A1DCpDh6O" TargetMode="External"/><Relationship Id="rId14" Type="http://schemas.openxmlformats.org/officeDocument/2006/relationships/hyperlink" Target="consultantplus://offline/ref=DA9D54AFA418E75CDB03B3AAD757317763A875C4388871ABCF23CB85080FC98DD6024D125B30842A5743436615953D66C5CCA2A5CCF6A1DCpD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10882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06.06.2016 N 44-оз(ред. от 02.12.2021)"Об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</vt:lpstr>
    </vt:vector>
  </TitlesOfParts>
  <Company>КонсультантПлюс Версия 4022.00.21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06.06.2016 N 44-оз(ред. от 02.12.2021)"Об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</dc:title>
  <dc:creator>Efremova</dc:creator>
  <cp:lastModifiedBy>Efremova</cp:lastModifiedBy>
  <cp:revision>2</cp:revision>
  <dcterms:created xsi:type="dcterms:W3CDTF">2022-09-07T14:34:00Z</dcterms:created>
  <dcterms:modified xsi:type="dcterms:W3CDTF">2022-09-07T14:34:00Z</dcterms:modified>
</cp:coreProperties>
</file>