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82EEE" w:rsidRPr="00FF314A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proofErr w:type="spellStart"/>
      <w:r w:rsidRPr="00FF314A">
        <w:rPr>
          <w:rFonts w:eastAsiaTheme="minorHAnsi"/>
          <w:b/>
          <w:bCs/>
          <w:lang w:eastAsia="en-US"/>
        </w:rPr>
        <w:t>Волховского</w:t>
      </w:r>
      <w:proofErr w:type="spellEnd"/>
      <w:r w:rsidRPr="00FF314A">
        <w:rPr>
          <w:rFonts w:eastAsiaTheme="minorHAnsi"/>
          <w:b/>
          <w:bCs/>
          <w:lang w:eastAsia="en-US"/>
        </w:rPr>
        <w:t xml:space="preserve"> муниципального района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  <w:r w:rsidR="004E23E7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666C15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>
        <w:t>Волховского</w:t>
      </w:r>
      <w:proofErr w:type="gramEnd"/>
      <w:r>
        <w:t xml:space="preserve"> муниципального</w:t>
      </w:r>
      <w:r w:rsidRPr="0018750F">
        <w:t xml:space="preserve"> района «</w:t>
      </w:r>
      <w:r w:rsidRPr="00164668">
        <w:t xml:space="preserve">Профилактика рисков причинения вреда 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proofErr w:type="spellStart"/>
      <w:r w:rsidR="00FF314A" w:rsidRPr="00990C6A">
        <w:t>Волховского</w:t>
      </w:r>
      <w:proofErr w:type="spellEnd"/>
      <w:r w:rsidR="00FF314A" w:rsidRPr="00990C6A">
        <w:t xml:space="preserve"> муниципального района</w:t>
      </w:r>
      <w:r w:rsidR="004E23E7" w:rsidRPr="004E23E7">
        <w:t xml:space="preserve">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первого заместителя главы администрации.</w:t>
      </w:r>
    </w:p>
    <w:p w:rsidR="00FF314A" w:rsidRDefault="00FF314A" w:rsidP="00164668">
      <w:pPr>
        <w:ind w:firstLine="708"/>
        <w:jc w:val="both"/>
      </w:pPr>
    </w:p>
    <w:p w:rsidR="00FF314A" w:rsidRPr="0018750F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D14DF5" w:rsidRDefault="00D14DF5" w:rsidP="00D14DF5">
      <w:pPr>
        <w:rPr>
          <w:highlight w:val="lightGray"/>
          <w:lang w:eastAsia="en-US"/>
        </w:rPr>
      </w:pPr>
    </w:p>
    <w:p w:rsidR="00867099" w:rsidRDefault="00867099" w:rsidP="00867099">
      <w:pPr>
        <w:rPr>
          <w:sz w:val="20"/>
          <w:szCs w:val="20"/>
        </w:rPr>
      </w:pPr>
    </w:p>
    <w:p w:rsidR="00D14DF5" w:rsidRPr="00867099" w:rsidRDefault="00867099" w:rsidP="00867099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867099">
        <w:rPr>
          <w:sz w:val="20"/>
          <w:szCs w:val="20"/>
        </w:rPr>
        <w:t>арышкина Татьяна Николаевна</w:t>
      </w:r>
      <w:r>
        <w:rPr>
          <w:sz w:val="20"/>
          <w:szCs w:val="20"/>
        </w:rPr>
        <w:t>, тел. 8/81363/78948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r w:rsidRPr="00990C6A">
        <w:lastRenderedPageBreak/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</w:t>
            </w:r>
            <w:bookmarkStart w:id="5" w:name="_GoBack"/>
            <w:bookmarkEnd w:id="5"/>
            <w:r w:rsidRPr="00990C6A">
              <w:rPr>
                <w:sz w:val="28"/>
                <w:szCs w:val="28"/>
              </w:rPr>
              <w:t>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867099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Отделом архитектуры за 9 месяцев 2021 года проведено 174 проверки соблюдения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</w:t>
      </w:r>
      <w:r w:rsidR="00BC1EE6" w:rsidRPr="00490CA8">
        <w:lastRenderedPageBreak/>
        <w:t>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69" w:rsidRDefault="00334169">
      <w:r>
        <w:separator/>
      </w:r>
    </w:p>
  </w:endnote>
  <w:endnote w:type="continuationSeparator" w:id="0">
    <w:p w:rsidR="00334169" w:rsidRDefault="003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69" w:rsidRDefault="00334169">
      <w:r>
        <w:separator/>
      </w:r>
    </w:p>
  </w:footnote>
  <w:footnote w:type="continuationSeparator" w:id="0">
    <w:p w:rsidR="00334169" w:rsidRDefault="0033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20242"/>
    <w:rsid w:val="003206B4"/>
    <w:rsid w:val="00334169"/>
    <w:rsid w:val="003759ED"/>
    <w:rsid w:val="00396950"/>
    <w:rsid w:val="003D4FEF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71720B"/>
    <w:rsid w:val="00724E40"/>
    <w:rsid w:val="00752B32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B1816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C2B39"/>
    <w:rsid w:val="00B33FC4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92B"/>
  <w15:docId w15:val="{444B1FF8-6BB6-46BD-91D3-840C5FD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728C-F291-4E9D-AB3B-A3BE423C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2117</Words>
  <Characters>16731</Characters>
  <Application>Microsoft Office Word</Application>
  <DocSecurity>0</DocSecurity>
  <Lines>557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12</cp:revision>
  <dcterms:created xsi:type="dcterms:W3CDTF">2021-09-23T13:06:00Z</dcterms:created>
  <dcterms:modified xsi:type="dcterms:W3CDTF">2021-09-30T12:25:00Z</dcterms:modified>
</cp:coreProperties>
</file>